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1E" w:rsidRDefault="00EB161E" w:rsidP="00EB161E">
      <w:pPr>
        <w:pStyle w:val="Bezodstpw"/>
        <w:rPr>
          <w:rFonts w:ascii="Corbel" w:hAnsi="Corbel"/>
          <w:i/>
        </w:rPr>
      </w:pP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Pr="004D6E44">
        <w:rPr>
          <w:b/>
        </w:rPr>
        <w:tab/>
      </w:r>
      <w:r w:rsidR="00966353">
        <w:rPr>
          <w:rFonts w:ascii="Corbel" w:hAnsi="Corbel"/>
          <w:bCs/>
          <w:i/>
        </w:rPr>
        <w:t>Załącznik nr 1.5 do Zarządzenia Rektora UR  nr 61/2025</w:t>
      </w:r>
    </w:p>
    <w:p w:rsidR="00FD51BB" w:rsidRPr="00402039" w:rsidRDefault="00FD51BB" w:rsidP="00EB161E">
      <w:pPr>
        <w:pStyle w:val="Bezodstpw"/>
        <w:rPr>
          <w:rFonts w:ascii="Corbel" w:hAnsi="Corbel"/>
          <w:i/>
        </w:rPr>
      </w:pPr>
    </w:p>
    <w:p w:rsidR="00FD51BB" w:rsidRPr="004D6E44" w:rsidRDefault="00FD51BB" w:rsidP="00FD51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>SYLABUS</w:t>
      </w:r>
    </w:p>
    <w:p w:rsidR="00FD51BB" w:rsidRPr="004D6E44" w:rsidRDefault="00FD51BB" w:rsidP="00FD51B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D6E4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 2025-2028</w:t>
      </w:r>
    </w:p>
    <w:p w:rsidR="00FD51BB" w:rsidRPr="004D6E44" w:rsidRDefault="00FD51BB" w:rsidP="00FD51B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01765">
        <w:rPr>
          <w:rFonts w:ascii="Corbel" w:hAnsi="Corbel"/>
          <w:i/>
          <w:sz w:val="24"/>
          <w:szCs w:val="24"/>
        </w:rPr>
        <w:tab/>
      </w:r>
      <w:r w:rsidRPr="004D6E44">
        <w:rPr>
          <w:rFonts w:ascii="Corbel" w:hAnsi="Corbel"/>
          <w:i/>
          <w:sz w:val="24"/>
          <w:szCs w:val="24"/>
        </w:rPr>
        <w:t>(skrajne daty</w:t>
      </w:r>
      <w:r w:rsidRPr="004D6E44">
        <w:rPr>
          <w:rFonts w:ascii="Corbel" w:hAnsi="Corbel"/>
          <w:sz w:val="24"/>
          <w:szCs w:val="24"/>
        </w:rPr>
        <w:t>)</w:t>
      </w:r>
    </w:p>
    <w:p w:rsidR="00EB161E" w:rsidRPr="004D6E44" w:rsidRDefault="00FD51BB" w:rsidP="00FD51BB">
      <w:pPr>
        <w:spacing w:after="0" w:line="240" w:lineRule="auto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4D6E44">
        <w:rPr>
          <w:rFonts w:ascii="Corbel" w:hAnsi="Corbel"/>
          <w:sz w:val="24"/>
          <w:szCs w:val="24"/>
        </w:rPr>
        <w:tab/>
      </w:r>
      <w:r w:rsidRPr="006445C9">
        <w:rPr>
          <w:rFonts w:ascii="Corbel" w:hAnsi="Corbel"/>
          <w:sz w:val="20"/>
          <w:szCs w:val="24"/>
        </w:rPr>
        <w:t xml:space="preserve">Rok akademicki   </w:t>
      </w:r>
      <w:r>
        <w:rPr>
          <w:rFonts w:ascii="Corbel" w:hAnsi="Corbel"/>
          <w:sz w:val="20"/>
          <w:szCs w:val="24"/>
        </w:rPr>
        <w:t>2025/2026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D6E4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Psychopatologi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4D6E4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B161E" w:rsidRPr="004D6E44" w:rsidRDefault="00FD51BB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  <w:tr w:rsidR="00EB161E" w:rsidRPr="004D6E44" w:rsidTr="00C173BF">
        <w:tc>
          <w:tcPr>
            <w:tcW w:w="2694" w:type="dxa"/>
            <w:vAlign w:val="center"/>
          </w:tcPr>
          <w:p w:rsidR="00EB161E" w:rsidRPr="004D6E44" w:rsidRDefault="00EB161E" w:rsidP="00C173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B161E" w:rsidRPr="004D6E44" w:rsidRDefault="00EB161E" w:rsidP="00C173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B161E" w:rsidRPr="004D6E44" w:rsidRDefault="00EB161E" w:rsidP="00EB161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* </w:t>
      </w:r>
      <w:r w:rsidRPr="004D6E44">
        <w:rPr>
          <w:rFonts w:ascii="Corbel" w:hAnsi="Corbel"/>
          <w:i/>
          <w:sz w:val="24"/>
          <w:szCs w:val="24"/>
        </w:rPr>
        <w:t>-</w:t>
      </w:r>
      <w:r w:rsidRPr="004D6E44">
        <w:rPr>
          <w:rFonts w:ascii="Corbel" w:hAnsi="Corbel"/>
          <w:b w:val="0"/>
          <w:i/>
          <w:sz w:val="24"/>
          <w:szCs w:val="24"/>
        </w:rPr>
        <w:t>opcjonalni</w:t>
      </w:r>
      <w:r w:rsidRPr="004D6E44">
        <w:rPr>
          <w:rFonts w:ascii="Corbel" w:hAnsi="Corbel"/>
          <w:b w:val="0"/>
          <w:sz w:val="24"/>
          <w:szCs w:val="24"/>
        </w:rPr>
        <w:t>e,</w:t>
      </w:r>
      <w:r w:rsidRPr="004D6E4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EB161E" w:rsidRPr="004D6E44" w:rsidRDefault="00EB161E" w:rsidP="00EB161E">
      <w:pPr>
        <w:pStyle w:val="Podpunkty"/>
        <w:ind w:left="0"/>
        <w:rPr>
          <w:rFonts w:ascii="Corbel" w:hAnsi="Corbel"/>
          <w:sz w:val="24"/>
          <w:szCs w:val="24"/>
        </w:rPr>
      </w:pPr>
    </w:p>
    <w:p w:rsidR="00EB161E" w:rsidRPr="004D6E44" w:rsidRDefault="00EB161E" w:rsidP="00EB161E">
      <w:pPr>
        <w:pStyle w:val="Podpunkty"/>
        <w:ind w:left="284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B161E" w:rsidRPr="004D6E44" w:rsidRDefault="00EB161E" w:rsidP="00EB161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B161E" w:rsidRPr="004D6E44" w:rsidTr="00C173B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Semestr</w:t>
            </w:r>
          </w:p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D6E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61E" w:rsidRPr="004D6E44" w:rsidRDefault="00EB161E" w:rsidP="00C173B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D6E4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B161E" w:rsidRPr="004D6E44" w:rsidTr="00C173B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61E" w:rsidRPr="004D6E44" w:rsidRDefault="00EB161E" w:rsidP="00C173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161E" w:rsidRPr="004D6E44" w:rsidRDefault="00EB161E" w:rsidP="00EB161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B161E" w:rsidRPr="004D6E44" w:rsidRDefault="00EB161E" w:rsidP="00EB161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B161E" w:rsidRPr="004D6E44" w:rsidRDefault="00EB161E" w:rsidP="00EB161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1.2.</w:t>
      </w:r>
      <w:r w:rsidRPr="004D6E44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EB161E" w:rsidRPr="004D6E44" w:rsidRDefault="00EB161E" w:rsidP="00EB16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20329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EB161E" w:rsidRPr="004D6E44" w:rsidRDefault="00EB161E" w:rsidP="00EB161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D6E44">
        <w:rPr>
          <w:rFonts w:ascii="MS Gothic" w:eastAsia="MS Gothic" w:hAnsi="MS Gothic" w:cs="MS Gothic" w:hint="eastAsia"/>
          <w:b w:val="0"/>
          <w:szCs w:val="24"/>
        </w:rPr>
        <w:t>☐</w:t>
      </w:r>
      <w:r w:rsidRPr="004D6E4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1.3 </w:t>
      </w:r>
      <w:r w:rsidRPr="004D6E4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B161E" w:rsidRPr="004D6E44" w:rsidTr="00C173BF">
        <w:tc>
          <w:tcPr>
            <w:tcW w:w="9670" w:type="dxa"/>
          </w:tcPr>
          <w:p w:rsidR="00EB161E" w:rsidRPr="004D6E44" w:rsidRDefault="00EB161E" w:rsidP="00C173B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Dysponowanie wiedzą psychologiczną z obszaru psychologii ogólnej, rozwoju człowieka, w zakresie przewidzianym programem studiów.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  <w:r w:rsidRPr="004D6E44">
        <w:rPr>
          <w:rFonts w:ascii="Corbel" w:hAnsi="Corbel"/>
          <w:szCs w:val="24"/>
        </w:rPr>
        <w:t>3. cele, efekty uczenia się , treści Programowe i stosowane metody Dydaktyczne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zCs w:val="24"/>
        </w:rPr>
      </w:pPr>
    </w:p>
    <w:p w:rsidR="00EB161E" w:rsidRPr="004D6E44" w:rsidRDefault="00EB161E" w:rsidP="00EB161E">
      <w:pPr>
        <w:pStyle w:val="Podpunkty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lastRenderedPageBreak/>
        <w:t>3.1 Cele przedmiotu</w:t>
      </w:r>
    </w:p>
    <w:p w:rsidR="00EB161E" w:rsidRPr="004D6E44" w:rsidRDefault="00EB161E" w:rsidP="00EB161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B161E" w:rsidRPr="004D6E44" w:rsidTr="00C173BF">
        <w:tc>
          <w:tcPr>
            <w:tcW w:w="851" w:type="dxa"/>
            <w:vAlign w:val="center"/>
          </w:tcPr>
          <w:p w:rsidR="00EB161E" w:rsidRPr="004D6E44" w:rsidRDefault="00EB161E" w:rsidP="00C173B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161E" w:rsidRPr="004D6E44" w:rsidRDefault="00EB161E" w:rsidP="00C173B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>Wprowadzenie studentów w podstawowe zagadnienia i specyfikę problematyki zaburzeń funkcjonowania człowieka, ich przyczyn, objaw</w:t>
            </w:r>
            <w:r w:rsidR="00696C92">
              <w:rPr>
                <w:rFonts w:ascii="Corbel" w:hAnsi="Corbel"/>
                <w:b w:val="0"/>
                <w:sz w:val="24"/>
                <w:szCs w:val="24"/>
              </w:rPr>
              <w:t>ów psychopatologicznych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oraz mechanizm</w:t>
            </w:r>
            <w:r w:rsidR="00696C92">
              <w:rPr>
                <w:rFonts w:ascii="Corbel" w:hAnsi="Corbel"/>
                <w:b w:val="0"/>
                <w:sz w:val="24"/>
                <w:szCs w:val="24"/>
              </w:rPr>
              <w:t xml:space="preserve">ów i </w:t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 przebiegu różnych form patologii psychicznej.</w:t>
            </w:r>
          </w:p>
        </w:tc>
      </w:tr>
      <w:tr w:rsidR="00EB161E" w:rsidRPr="004D6E44" w:rsidTr="00C173BF">
        <w:tc>
          <w:tcPr>
            <w:tcW w:w="851" w:type="dxa"/>
            <w:vAlign w:val="center"/>
          </w:tcPr>
          <w:p w:rsidR="00EB161E" w:rsidRPr="004D6E44" w:rsidRDefault="00EB161E" w:rsidP="00C173B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161E" w:rsidRPr="004D6E44" w:rsidRDefault="00EB161E" w:rsidP="00C173B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E44">
              <w:rPr>
                <w:rFonts w:ascii="Corbel" w:hAnsi="Corbel"/>
                <w:b w:val="0"/>
                <w:sz w:val="24"/>
                <w:szCs w:val="24"/>
              </w:rPr>
              <w:t xml:space="preserve">Uzyskanie przez studentów  kompetencji w zakresie samodzielnego rozpoznawania </w:t>
            </w:r>
            <w:r w:rsidR="0080176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b w:val="0"/>
                <w:sz w:val="24"/>
                <w:szCs w:val="24"/>
              </w:rPr>
              <w:t>i różnicowania zachowań patologicznych od normatywnych, bądź jedynie niepowszechnych, tak by w przyszłej aktywności zawodowej mogli jak najwcześniej uruchamiać  procesy postępowania profilaktycznego czy korekcyjnego.</w:t>
            </w:r>
          </w:p>
        </w:tc>
      </w:tr>
    </w:tbl>
    <w:p w:rsidR="00EB161E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B161E" w:rsidRPr="004D6E44" w:rsidRDefault="00EB161E" w:rsidP="00EB16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>3.2 Efekty uczenia się dla przedmiotu</w:t>
      </w:r>
    </w:p>
    <w:p w:rsidR="00EB161E" w:rsidRPr="004D6E44" w:rsidRDefault="00EB161E" w:rsidP="00EB161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EB161E" w:rsidRPr="004D6E44" w:rsidTr="00C173BF">
        <w:tc>
          <w:tcPr>
            <w:tcW w:w="1701" w:type="dxa"/>
            <w:vAlign w:val="center"/>
          </w:tcPr>
          <w:p w:rsidR="00EB161E" w:rsidRPr="004D6E44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EB161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EB161E" w:rsidRPr="004D6E44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6E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identyfikuje i odróżni na podstawie odpowiednio dobranych kryteriów normę od patologii.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charakteryzuje  zasadnicze objawy zaburzeń czynności poznawczych, afektywnych i zaburzeń osobowościowych.</w:t>
            </w:r>
          </w:p>
        </w:tc>
        <w:tc>
          <w:tcPr>
            <w:tcW w:w="1873" w:type="dxa"/>
          </w:tcPr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okona wstępnego rozpoznania diagnostycznego wybranych zaburzeń wieku rozwojowego.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ozróżni zachowania normatywne od patologicznych w zakresie odżywiania, wydalania oraz zachowań seksualnych.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zasadni konieczność bądź nie, interwencji wobec osoby ujawniającej określone przejawy i cechy zachowań -  adekwatnie do poziomu swojej wiedzy i kompetencji.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i scharakteryzuje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w języku psychopatologii określone przejawy zachowań zaburzonych.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B161E" w:rsidRPr="004D6E44" w:rsidTr="00C173BF">
        <w:tc>
          <w:tcPr>
            <w:tcW w:w="170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Wykaże</w:t>
            </w: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 się szacunkiem i pełnią akceptacji do jednostki, pomimo jej zachowań o cechach i przejawach patologicznych.</w:t>
            </w:r>
          </w:p>
        </w:tc>
        <w:tc>
          <w:tcPr>
            <w:tcW w:w="1873" w:type="dxa"/>
          </w:tcPr>
          <w:p w:rsidR="00EB161E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EB161E" w:rsidRPr="004D6E44" w:rsidRDefault="00EB161E" w:rsidP="002E4A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B161E" w:rsidRPr="004D6E44" w:rsidRDefault="00EB161E" w:rsidP="00EB161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3.3 Treści programowe </w:t>
      </w:r>
    </w:p>
    <w:p w:rsidR="00EB161E" w:rsidRPr="004D6E44" w:rsidRDefault="00EB161E" w:rsidP="00EB16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wykładu </w:t>
      </w:r>
    </w:p>
    <w:p w:rsidR="00EB161E" w:rsidRPr="004D6E44" w:rsidRDefault="00EB161E" w:rsidP="00EB161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39"/>
      </w:tblGrid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  Psychopatologia – prezentacja dyscypliny – rys historyczny.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8017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Objawy zaburzeń psychicznych. Zaburzenia czynności poznawczych,  emocjonalnych </w:t>
            </w:r>
            <w:r w:rsidR="00801765">
              <w:rPr>
                <w:rFonts w:ascii="Corbel" w:hAnsi="Corbel"/>
                <w:sz w:val="24"/>
                <w:szCs w:val="24"/>
              </w:rPr>
              <w:br/>
              <w:t xml:space="preserve">i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motywacyjnych. Zaburzenia osobowości.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Zespoły psycho</w:t>
            </w:r>
            <w:r>
              <w:rPr>
                <w:rFonts w:ascii="Corbel" w:hAnsi="Corbel"/>
                <w:sz w:val="24"/>
                <w:szCs w:val="24"/>
              </w:rPr>
              <w:t>patologiczne</w:t>
            </w:r>
            <w:r w:rsidRPr="004D6E4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Wybrane zagadnienia psychopatologii wieku rozwojowego – rozległe zaburzenia rozwoju </w:t>
            </w:r>
            <w:r w:rsidR="00801765">
              <w:rPr>
                <w:rFonts w:ascii="Corbel" w:hAnsi="Corbel"/>
                <w:sz w:val="24"/>
                <w:szCs w:val="24"/>
              </w:rPr>
              <w:br/>
            </w:r>
            <w:r w:rsidRPr="004D6E44">
              <w:rPr>
                <w:rFonts w:ascii="Corbel" w:hAnsi="Corbel"/>
                <w:sz w:val="24"/>
                <w:szCs w:val="24"/>
              </w:rPr>
              <w:t>i zaburzenia specyficzne.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 xml:space="preserve">Charakterystyka zaburzeń w odżywianiu się i kontroli wydalania. 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4D6E44" w:rsidRDefault="00EB161E" w:rsidP="00C17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Zaburzenia nerwicowe i psychopatyczne u dzieci i młodzieży.</w:t>
            </w:r>
          </w:p>
        </w:tc>
      </w:tr>
    </w:tbl>
    <w:p w:rsidR="00EB161E" w:rsidRPr="004D6E44" w:rsidRDefault="00EB161E" w:rsidP="00EB161E">
      <w:pPr>
        <w:spacing w:after="0" w:line="240" w:lineRule="auto"/>
        <w:rPr>
          <w:rFonts w:ascii="Corbel" w:hAnsi="Corbel"/>
          <w:sz w:val="24"/>
          <w:szCs w:val="24"/>
        </w:rPr>
      </w:pPr>
    </w:p>
    <w:p w:rsidR="00EB161E" w:rsidRPr="004D6E44" w:rsidRDefault="00EB161E" w:rsidP="00EB161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B161E" w:rsidRPr="004D6E44" w:rsidRDefault="00EB161E" w:rsidP="00EB161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B161E" w:rsidRPr="004D6E44" w:rsidTr="00C173BF">
        <w:tc>
          <w:tcPr>
            <w:tcW w:w="9639" w:type="dxa"/>
            <w:tcBorders>
              <w:bottom w:val="single" w:sz="4" w:space="0" w:color="auto"/>
            </w:tcBorders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6445C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Psychopatologia zmagania się ze stresem: (kryzys, zespoły reaktywne traumatyczne i posttraumatyczne, zaburzenia psychosomatyczne, mechanizmy obronne, wypalenie, uzależnienia, psychologia sui</w:t>
            </w:r>
            <w:r>
              <w:rPr>
                <w:rFonts w:ascii="Corbel" w:hAnsi="Corbel"/>
                <w:sz w:val="24"/>
                <w:szCs w:val="24"/>
              </w:rPr>
              <w:t>cydalna, zaburzenia jedzenia).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Psychologiczna problematyka zaburzeń osobowości: (Klasyfikacj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 DSM </w:t>
            </w:r>
            <w:r>
              <w:rPr>
                <w:rFonts w:ascii="Corbel" w:hAnsi="Corbel"/>
                <w:sz w:val="24"/>
                <w:szCs w:val="24"/>
              </w:rPr>
              <w:t>-5</w:t>
            </w:r>
            <w:r w:rsidR="000043F2">
              <w:rPr>
                <w:rFonts w:ascii="Corbel" w:hAnsi="Corbel"/>
                <w:sz w:val="24"/>
                <w:szCs w:val="24"/>
              </w:rPr>
              <w:t>-TR, ICD-11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Socjopatie.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Problematyka zaburzeń seksualnych: dysfunkcje seksualne, parafilie, zaburzenia tożsamoś</w:t>
            </w:r>
            <w:r>
              <w:rPr>
                <w:rFonts w:ascii="Corbel" w:hAnsi="Corbel"/>
                <w:sz w:val="24"/>
                <w:szCs w:val="24"/>
              </w:rPr>
              <w:t xml:space="preserve">ci płciowej. 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>Psychologiczne mechanizmy w zaburzeniach nerwicowych.  Zaburzenia lękowe. Problematyka lęku i zaburzeń</w:t>
            </w:r>
            <w:r>
              <w:rPr>
                <w:rFonts w:ascii="Corbel" w:hAnsi="Corbel"/>
                <w:sz w:val="24"/>
                <w:szCs w:val="24"/>
              </w:rPr>
              <w:t xml:space="preserve">fobijnych. </w:t>
            </w:r>
          </w:p>
        </w:tc>
      </w:tr>
      <w:tr w:rsidR="00EB161E" w:rsidRPr="004D6E44" w:rsidTr="00C173BF">
        <w:tc>
          <w:tcPr>
            <w:tcW w:w="9639" w:type="dxa"/>
          </w:tcPr>
          <w:p w:rsidR="00EB161E" w:rsidRPr="00221CA9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21CA9">
              <w:rPr>
                <w:rFonts w:ascii="Corbel" w:hAnsi="Corbel"/>
                <w:sz w:val="24"/>
                <w:szCs w:val="24"/>
              </w:rPr>
              <w:t xml:space="preserve">Psychologiczne mechanizmy w zaburzeniach </w:t>
            </w:r>
            <w:r w:rsidR="000043F2">
              <w:rPr>
                <w:rFonts w:ascii="Corbel" w:hAnsi="Corbel"/>
                <w:sz w:val="24"/>
                <w:szCs w:val="24"/>
              </w:rPr>
              <w:t>nastroju</w:t>
            </w:r>
            <w:r w:rsidRPr="00221CA9">
              <w:rPr>
                <w:rFonts w:ascii="Corbel" w:hAnsi="Corbel"/>
                <w:sz w:val="24"/>
                <w:szCs w:val="24"/>
              </w:rPr>
              <w:t xml:space="preserve">. Zaburzenia depresyjne: zaburzenia afektywne jednobiegunowe i dwubiegunowe. </w:t>
            </w:r>
            <w:r>
              <w:rPr>
                <w:rFonts w:ascii="Corbel" w:hAnsi="Corbel"/>
                <w:sz w:val="24"/>
                <w:szCs w:val="24"/>
              </w:rPr>
              <w:t>Schizofrenia i inne psychozy.</w:t>
            </w:r>
          </w:p>
        </w:tc>
      </w:tr>
    </w:tbl>
    <w:p w:rsidR="00EB161E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3.4 Metody dydaktyczne</w:t>
      </w: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B161E" w:rsidRDefault="00EB161E" w:rsidP="00EB161E">
      <w:pPr>
        <w:spacing w:line="240" w:lineRule="auto"/>
        <w:rPr>
          <w:rFonts w:ascii="Corbel" w:hAnsi="Corbel"/>
          <w:sz w:val="24"/>
          <w:szCs w:val="24"/>
        </w:rPr>
      </w:pPr>
      <w:r w:rsidRPr="004D6E44">
        <w:rPr>
          <w:rFonts w:ascii="Corbel" w:hAnsi="Corbel"/>
          <w:sz w:val="24"/>
          <w:szCs w:val="24"/>
        </w:rPr>
        <w:t xml:space="preserve">Wykład: wykład problemowy, wykład z prezentacją multimedialną. </w:t>
      </w:r>
    </w:p>
    <w:p w:rsidR="00EB161E" w:rsidRPr="004D6E44" w:rsidRDefault="00EB161E" w:rsidP="00EB161E">
      <w:p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praca w grupach, burza mózgów, pogadanka, praca projektowa</w:t>
      </w:r>
    </w:p>
    <w:p w:rsidR="00EB161E" w:rsidRPr="004D6E44" w:rsidRDefault="00EB161E" w:rsidP="00EB16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 METODY I KRYTERIA OCENY </w:t>
      </w:r>
    </w:p>
    <w:p w:rsidR="00EB161E" w:rsidRPr="004D6E44" w:rsidRDefault="00EB161E" w:rsidP="00EB161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4.1 Sposoby weryfikacji efektów uczenia się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EB161E" w:rsidRPr="009C54AE" w:rsidTr="00C173BF">
        <w:tc>
          <w:tcPr>
            <w:tcW w:w="1985" w:type="dxa"/>
            <w:vAlign w:val="center"/>
          </w:tcPr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161E" w:rsidRPr="009C54AE" w:rsidRDefault="00EB161E" w:rsidP="00C17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EB161E" w:rsidRPr="009C54AE" w:rsidTr="00C173BF">
        <w:tc>
          <w:tcPr>
            <w:tcW w:w="1985" w:type="dxa"/>
          </w:tcPr>
          <w:p w:rsidR="00EB161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EB161E" w:rsidRPr="00C542A5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EB161E" w:rsidRPr="009C54AE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EB161E" w:rsidRPr="004D6E44" w:rsidTr="00C173BF">
        <w:trPr>
          <w:trHeight w:val="675"/>
        </w:trPr>
        <w:tc>
          <w:tcPr>
            <w:tcW w:w="9670" w:type="dxa"/>
          </w:tcPr>
          <w:p w:rsidR="00004CA7" w:rsidRPr="009120EC" w:rsidRDefault="00004CA7" w:rsidP="00004CA7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004CA7" w:rsidRPr="009120EC" w:rsidRDefault="00004CA7" w:rsidP="00004CA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004CA7" w:rsidRPr="009120EC" w:rsidRDefault="00004CA7" w:rsidP="00004CA7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004CA7" w:rsidRDefault="00004CA7" w:rsidP="00004CA7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004CA7" w:rsidRPr="009120EC" w:rsidRDefault="00004CA7" w:rsidP="00004CA7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 xml:space="preserve">aktywnego udziału studenta w zajęciach (w trakcie pracy nad projektami, podczas analizowania </w:t>
            </w: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literatury</w:t>
            </w:r>
            <w:r w:rsidRPr="009120EC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, w trakcie dyskusji)</w:t>
            </w:r>
          </w:p>
          <w:p w:rsidR="00EB161E" w:rsidRPr="00203295" w:rsidRDefault="00EB161E" w:rsidP="00C173BF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161E" w:rsidRDefault="00EB161E" w:rsidP="00EB161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EB161E" w:rsidRPr="004D6E44" w:rsidRDefault="00EB161E" w:rsidP="00EB161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D6E4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EB161E" w:rsidRPr="004D6E44" w:rsidTr="00C173BF">
        <w:tc>
          <w:tcPr>
            <w:tcW w:w="4962" w:type="dxa"/>
            <w:vAlign w:val="center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(u</w:t>
            </w:r>
            <w:r>
              <w:rPr>
                <w:rFonts w:ascii="Corbel" w:hAnsi="Corbel"/>
                <w:sz w:val="24"/>
                <w:szCs w:val="24"/>
              </w:rPr>
              <w:t>dział w konsultacjachi w egzaminie</w:t>
            </w:r>
            <w:r w:rsidRPr="004D6E4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EB161E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EB161E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</w:tcPr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</w:p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EB161E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043F2">
              <w:rPr>
                <w:rFonts w:ascii="Corbel" w:hAnsi="Corbel"/>
                <w:sz w:val="24"/>
                <w:szCs w:val="24"/>
              </w:rPr>
              <w:t>0</w:t>
            </w:r>
          </w:p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0043F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B161E" w:rsidRPr="004D6E44" w:rsidTr="00C173BF">
        <w:tc>
          <w:tcPr>
            <w:tcW w:w="4962" w:type="dxa"/>
          </w:tcPr>
          <w:p w:rsidR="00EB161E" w:rsidRPr="004D6E44" w:rsidRDefault="00EB161E" w:rsidP="00C173B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D6E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B161E" w:rsidRPr="004D6E44" w:rsidRDefault="00EB161E" w:rsidP="00004C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D6E4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>6. PRAKTYKI ZAWODOWE W RAMACH PRZEDMIOTU</w:t>
      </w:r>
    </w:p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EB161E" w:rsidRPr="004D6E44" w:rsidTr="002E4AB5">
        <w:trPr>
          <w:trHeight w:val="397"/>
        </w:trPr>
        <w:tc>
          <w:tcPr>
            <w:tcW w:w="411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B161E" w:rsidRPr="004D6E44" w:rsidTr="002E4AB5">
        <w:trPr>
          <w:trHeight w:val="397"/>
        </w:trPr>
        <w:tc>
          <w:tcPr>
            <w:tcW w:w="4111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EB161E" w:rsidRPr="004D6E44" w:rsidRDefault="00EB161E" w:rsidP="00C173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6E4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D6E44">
        <w:rPr>
          <w:rFonts w:ascii="Corbel" w:hAnsi="Corbel"/>
          <w:smallCaps w:val="0"/>
          <w:szCs w:val="24"/>
        </w:rPr>
        <w:t xml:space="preserve">7. LITERATURA </w:t>
      </w:r>
    </w:p>
    <w:p w:rsidR="00EB161E" w:rsidRPr="004D6E44" w:rsidRDefault="00EB161E" w:rsidP="00EB161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B161E" w:rsidRPr="004D6E44" w:rsidTr="000B307D">
        <w:trPr>
          <w:trHeight w:val="397"/>
        </w:trPr>
        <w:tc>
          <w:tcPr>
            <w:tcW w:w="9639" w:type="dxa"/>
          </w:tcPr>
          <w:p w:rsidR="00EB161E" w:rsidRDefault="00EB161E" w:rsidP="000B30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:rsidR="00801765" w:rsidRPr="004D6E44" w:rsidRDefault="00801765" w:rsidP="000B307D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:rsidR="0080176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Cierpiałkowska L.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Naukowe SCHOLAR</w:t>
            </w:r>
            <w:r>
              <w:rPr>
                <w:rFonts w:ascii="Corbel" w:hAnsi="Corbel"/>
                <w:sz w:val="24"/>
                <w:szCs w:val="24"/>
              </w:rPr>
              <w:t xml:space="preserve">, Warszawa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2018.     </w:t>
            </w:r>
          </w:p>
          <w:p w:rsidR="0080176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645C8"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645C8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 w:rsidRPr="008645C8">
              <w:rPr>
                <w:rFonts w:ascii="Corbel" w:hAnsi="Corbel"/>
                <w:sz w:val="24"/>
                <w:szCs w:val="24"/>
              </w:rPr>
              <w:t xml:space="preserve"> Wrocław,  Edra Urban &amp; Partner, 20</w:t>
            </w:r>
            <w:r>
              <w:rPr>
                <w:rFonts w:ascii="Corbel" w:hAnsi="Corbel"/>
                <w:sz w:val="24"/>
                <w:szCs w:val="24"/>
              </w:rPr>
              <w:t>23.</w:t>
            </w:r>
          </w:p>
          <w:p w:rsidR="0080176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Gmitrowicz A., Janas-Kozik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Zaburzenia psychiczne dzieci i młodzieży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Medical Tribune, Warszawa 2018.                                                                                                                                                                                                Komender J. Wolańczyk T.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Zaburzenia emocjonalne i behawioralne u dzieci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PZWL, Warszawa 2017.                                                                                                        </w:t>
            </w:r>
          </w:p>
          <w:p w:rsidR="00801765" w:rsidRPr="00EB161E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EB161E">
              <w:rPr>
                <w:rFonts w:ascii="Corbel" w:hAnsi="Corbel"/>
                <w:sz w:val="24"/>
                <w:szCs w:val="24"/>
                <w:lang w:val="en-US"/>
              </w:rPr>
              <w:t>Journal of Autism and Developmental Disorders,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2023,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53(4),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s. </w:t>
            </w:r>
            <w:r w:rsidRPr="000043F2">
              <w:rPr>
                <w:rFonts w:ascii="Corbel" w:hAnsi="Corbel"/>
                <w:sz w:val="24"/>
                <w:szCs w:val="24"/>
                <w:lang w:val="en-US"/>
              </w:rPr>
              <w:t>1629-1641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:rsidR="00801765" w:rsidRPr="00EB161E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EB161E">
              <w:rPr>
                <w:rFonts w:ascii="Corbel" w:hAnsi="Corbel"/>
                <w:sz w:val="24"/>
                <w:szCs w:val="24"/>
                <w:lang w:val="en-US"/>
              </w:rPr>
              <w:t xml:space="preserve">Lenart A. Pasternak J. Resources, Problems and Challenges of Autism Spectrum Disorder Diagnosis and Support System in Poland.  </w:t>
            </w:r>
          </w:p>
          <w:p w:rsidR="00801765" w:rsidRPr="00966353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 Pasternak J. Błędy diagnostyczne w zaburzeniach ze spektrum autyzmu i ich konsekwencje – opisy przypadków. </w:t>
            </w:r>
            <w:r w:rsidRPr="00966353">
              <w:rPr>
                <w:rFonts w:ascii="Corbel" w:hAnsi="Corbel"/>
                <w:sz w:val="24"/>
                <w:szCs w:val="24"/>
              </w:rPr>
              <w:t>Psychiatr. Pol. 2021;55(4),s. 787-799</w:t>
            </w:r>
          </w:p>
          <w:p w:rsidR="00801765" w:rsidRPr="00452FF5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 xml:space="preserve">Ochojska D., Pasternak J. Postawy rodzicielskie w percepcji studentów z ADHD. Wychowanie 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Rodzinie, XX, 1/2019, s.181-194</w:t>
            </w:r>
          </w:p>
          <w:p w:rsidR="00801765" w:rsidRPr="004D6E44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52FF5">
              <w:rPr>
                <w:rFonts w:ascii="Corbel" w:hAnsi="Corbel"/>
                <w:sz w:val="24"/>
                <w:szCs w:val="24"/>
              </w:rPr>
              <w:t>Ochojska D., Pasternak J. Zaburzenia osobowości u studentów a retrospektywna ocena postaw rodziców – Wychowanie w Rodzinie, 2017, tom XVI, s.191-211.</w:t>
            </w:r>
          </w:p>
          <w:p w:rsidR="00607820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Pasternak J., Perenc L., Radochoński M.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Podstawy psychopatologii dla pedagogów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Wydawnictwo UR, Rzeszów 2017.</w:t>
            </w:r>
          </w:p>
          <w:p w:rsidR="00EB161E" w:rsidRPr="004D6E44" w:rsidRDefault="00801765" w:rsidP="0080176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Rosenhan D.L., Walker E.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F., Seligma</w:t>
            </w:r>
            <w:r>
              <w:rPr>
                <w:rFonts w:ascii="Corbel" w:hAnsi="Corbel"/>
                <w:sz w:val="24"/>
                <w:szCs w:val="24"/>
              </w:rPr>
              <w:t>n M. E.</w:t>
            </w:r>
            <w:r w:rsidRPr="004D6E44">
              <w:rPr>
                <w:rFonts w:ascii="Corbel" w:hAnsi="Corbel"/>
                <w:sz w:val="24"/>
                <w:szCs w:val="24"/>
              </w:rPr>
              <w:t>P.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6078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>Zysk I Ska, Poznań, 2017</w:t>
            </w:r>
          </w:p>
        </w:tc>
      </w:tr>
      <w:tr w:rsidR="00EB161E" w:rsidRPr="004D6E44" w:rsidTr="000B307D">
        <w:trPr>
          <w:trHeight w:val="397"/>
        </w:trPr>
        <w:tc>
          <w:tcPr>
            <w:tcW w:w="9639" w:type="dxa"/>
          </w:tcPr>
          <w:p w:rsidR="00EB161E" w:rsidRDefault="00EB161E" w:rsidP="000B307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lastRenderedPageBreak/>
              <w:t>Literatura uzupełniająca:</w:t>
            </w:r>
          </w:p>
          <w:p w:rsidR="00607820" w:rsidRDefault="00607820" w:rsidP="006078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sz w:val="24"/>
                <w:szCs w:val="24"/>
              </w:rPr>
              <w:t>De Barbaro B., Jakob G., Lieb K., Berger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 xml:space="preserve">Trudne dialogi, rozmowy psychiatrów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8358B3">
              <w:rPr>
                <w:rFonts w:ascii="Corbel" w:hAnsi="Corbel"/>
                <w:i/>
                <w:sz w:val="24"/>
                <w:szCs w:val="24"/>
              </w:rPr>
              <w:t>i psychoterapeutów z pacjentami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Edra Urban &amp; Partner, Wrocław 2019.                     </w:t>
            </w:r>
          </w:p>
          <w:p w:rsidR="00607820" w:rsidRDefault="00607820" w:rsidP="006078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Mcwilliams N.,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Diagnoza psychoanalityczna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 GWP, Gdańsk 2009.                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Meyer R.,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Psychopatologia. Jeden przypadek - wiele teorii</w:t>
            </w:r>
            <w:r>
              <w:rPr>
                <w:rFonts w:ascii="Corbel" w:hAnsi="Corbel"/>
                <w:sz w:val="24"/>
                <w:szCs w:val="24"/>
              </w:rPr>
              <w:t xml:space="preserve">, GWP, </w:t>
            </w:r>
            <w:r w:rsidRPr="004D6E44">
              <w:rPr>
                <w:rFonts w:ascii="Corbel" w:hAnsi="Corbel"/>
                <w:sz w:val="24"/>
                <w:szCs w:val="24"/>
              </w:rPr>
              <w:t>Gdańsk 2003.</w:t>
            </w:r>
          </w:p>
          <w:p w:rsidR="00EB161E" w:rsidRPr="004D6E44" w:rsidRDefault="00607820" w:rsidP="0060782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D6E44">
              <w:rPr>
                <w:rFonts w:ascii="Corbel" w:hAnsi="Corbel"/>
                <w:bCs/>
                <w:sz w:val="24"/>
                <w:szCs w:val="24"/>
              </w:rPr>
              <w:t>Namysłowska I.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bCs/>
                <w:i/>
                <w:sz w:val="24"/>
                <w:szCs w:val="24"/>
              </w:rPr>
              <w:t>Psychiatria dzieci i młodzieży</w:t>
            </w:r>
            <w:r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4D6E44">
              <w:rPr>
                <w:rFonts w:ascii="Corbel" w:hAnsi="Corbel"/>
                <w:bCs/>
                <w:sz w:val="24"/>
                <w:szCs w:val="24"/>
              </w:rPr>
              <w:t xml:space="preserve"> PZWL, Warszawa 2015.                                                </w:t>
            </w:r>
            <w:r w:rsidRPr="004D6E44">
              <w:rPr>
                <w:rFonts w:ascii="Corbel" w:hAnsi="Corbel"/>
                <w:sz w:val="24"/>
                <w:szCs w:val="24"/>
              </w:rPr>
              <w:t>Rybakowski F.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Depresje u osób młodych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520BF">
              <w:rPr>
                <w:rFonts w:ascii="Corbel" w:hAnsi="Corbel"/>
                <w:sz w:val="24"/>
                <w:szCs w:val="24"/>
              </w:rPr>
              <w:t>Medical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520BF">
              <w:rPr>
                <w:rFonts w:ascii="Corbel" w:hAnsi="Corbel"/>
                <w:sz w:val="24"/>
                <w:szCs w:val="24"/>
              </w:rPr>
              <w:t>Education, Warszawa 2018.                                                                                                                                          Stirling J.S., Hellewell J.S.E.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49C4">
              <w:rPr>
                <w:rFonts w:ascii="Corbel" w:hAnsi="Corbel"/>
                <w:i/>
                <w:sz w:val="24"/>
                <w:szCs w:val="24"/>
              </w:rPr>
              <w:t>Psychopatologia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4D6E44">
              <w:rPr>
                <w:rFonts w:ascii="Corbel" w:hAnsi="Corbel"/>
                <w:sz w:val="24"/>
                <w:szCs w:val="24"/>
              </w:rPr>
              <w:t xml:space="preserve">GWP, Gdańsk  2005.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161E" w:rsidRPr="004D6E44" w:rsidRDefault="00EB161E" w:rsidP="00EB161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B161E" w:rsidRPr="009C54AE" w:rsidRDefault="00EB161E" w:rsidP="00EB161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D6E44">
        <w:rPr>
          <w:rFonts w:ascii="Corbel" w:hAnsi="Corbel"/>
          <w:b w:val="0"/>
          <w:smallCaps w:val="0"/>
          <w:szCs w:val="24"/>
        </w:rPr>
        <w:t>Akceptacja Kierownika Jedn</w:t>
      </w:r>
      <w:r w:rsidRPr="009C54AE">
        <w:rPr>
          <w:rFonts w:ascii="Corbel" w:hAnsi="Corbel"/>
          <w:b w:val="0"/>
          <w:smallCaps w:val="0"/>
          <w:szCs w:val="24"/>
        </w:rPr>
        <w:t>ostki lub osoby upoważnionej</w:t>
      </w:r>
    </w:p>
    <w:p w:rsidR="00BF28B5" w:rsidRPr="00EB161E" w:rsidRDefault="00BF28B5" w:rsidP="00EB161E"/>
    <w:sectPr w:rsidR="00BF28B5" w:rsidRPr="00EB161E" w:rsidSect="00EB16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D7A" w:rsidRDefault="000E0D7A" w:rsidP="00EB161E">
      <w:pPr>
        <w:spacing w:after="0" w:line="240" w:lineRule="auto"/>
      </w:pPr>
      <w:r>
        <w:separator/>
      </w:r>
    </w:p>
  </w:endnote>
  <w:endnote w:type="continuationSeparator" w:id="1">
    <w:p w:rsidR="000E0D7A" w:rsidRDefault="000E0D7A" w:rsidP="00EB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D7A" w:rsidRDefault="000E0D7A" w:rsidP="00EB161E">
      <w:pPr>
        <w:spacing w:after="0" w:line="240" w:lineRule="auto"/>
      </w:pPr>
      <w:r>
        <w:separator/>
      </w:r>
    </w:p>
  </w:footnote>
  <w:footnote w:type="continuationSeparator" w:id="1">
    <w:p w:rsidR="000E0D7A" w:rsidRDefault="000E0D7A" w:rsidP="00EB161E">
      <w:pPr>
        <w:spacing w:after="0" w:line="240" w:lineRule="auto"/>
      </w:pPr>
      <w:r>
        <w:continuationSeparator/>
      </w:r>
    </w:p>
  </w:footnote>
  <w:footnote w:id="2">
    <w:p w:rsidR="00EB161E" w:rsidRDefault="00EB161E" w:rsidP="00EB16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CD7629"/>
    <w:multiLevelType w:val="hybridMultilevel"/>
    <w:tmpl w:val="83A27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8B5"/>
    <w:rsid w:val="000043F2"/>
    <w:rsid w:val="00004CA7"/>
    <w:rsid w:val="0006408F"/>
    <w:rsid w:val="000B307D"/>
    <w:rsid w:val="000E0D7A"/>
    <w:rsid w:val="00205452"/>
    <w:rsid w:val="002E4AB5"/>
    <w:rsid w:val="003F5238"/>
    <w:rsid w:val="00607820"/>
    <w:rsid w:val="00696C92"/>
    <w:rsid w:val="006F31DB"/>
    <w:rsid w:val="006F5C2E"/>
    <w:rsid w:val="007C51A3"/>
    <w:rsid w:val="00801765"/>
    <w:rsid w:val="00826438"/>
    <w:rsid w:val="008645C8"/>
    <w:rsid w:val="00966353"/>
    <w:rsid w:val="00A66C2E"/>
    <w:rsid w:val="00B26502"/>
    <w:rsid w:val="00BE2F44"/>
    <w:rsid w:val="00BF28B5"/>
    <w:rsid w:val="00EB161E"/>
    <w:rsid w:val="00FC58D0"/>
    <w:rsid w:val="00FD5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61E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6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161E"/>
    <w:rPr>
      <w:rFonts w:ascii="Calibri" w:eastAsia="Calibri" w:hAnsi="Calibri" w:cs="Times New Roman"/>
      <w:kern w:val="0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B161E"/>
    <w:rPr>
      <w:vertAlign w:val="superscript"/>
    </w:rPr>
  </w:style>
  <w:style w:type="paragraph" w:customStyle="1" w:styleId="Punktygwne">
    <w:name w:val="Punkty główne"/>
    <w:basedOn w:val="Normalny"/>
    <w:rsid w:val="00EB161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B161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B161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B161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B161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B161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B161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B161E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6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61E"/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61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16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16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161E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B161E"/>
    <w:rPr>
      <w:vertAlign w:val="superscript"/>
    </w:rPr>
  </w:style>
  <w:style w:type="paragraph" w:customStyle="1" w:styleId="Punktygwne">
    <w:name w:val="Punkty główne"/>
    <w:basedOn w:val="Normalny"/>
    <w:rsid w:val="00EB161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B161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B161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B161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B161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B161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B161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B161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6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61E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11</cp:revision>
  <dcterms:created xsi:type="dcterms:W3CDTF">2024-09-15T19:53:00Z</dcterms:created>
  <dcterms:modified xsi:type="dcterms:W3CDTF">2025-04-10T18:35:00Z</dcterms:modified>
</cp:coreProperties>
</file>